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C5C6" w14:textId="554BDB0C" w:rsidR="00EA7A9A" w:rsidRDefault="00EA7A9A" w:rsidP="00EA7A9A">
      <w:pPr>
        <w:rPr>
          <w:b/>
          <w:bCs/>
        </w:rPr>
      </w:pPr>
      <w:r>
        <w:rPr>
          <w:b/>
          <w:bCs/>
        </w:rPr>
        <w:t xml:space="preserve">28 </w:t>
      </w:r>
      <w:r w:rsidR="00A82D9D">
        <w:rPr>
          <w:b/>
          <w:bCs/>
        </w:rPr>
        <w:t>April 202</w:t>
      </w:r>
      <w:r w:rsidR="004C7B1A">
        <w:rPr>
          <w:b/>
          <w:bCs/>
        </w:rPr>
        <w:t>5</w:t>
      </w:r>
    </w:p>
    <w:p w14:paraId="19409B59" w14:textId="77777777" w:rsidR="00A82D9D" w:rsidRPr="00A817CA" w:rsidRDefault="00A82D9D" w:rsidP="00A82D9D">
      <w:pPr>
        <w:spacing w:line="264" w:lineRule="auto"/>
        <w:jc w:val="center"/>
        <w:rPr>
          <w:b/>
          <w:bCs/>
          <w:color w:val="000000"/>
          <w:lang w:eastAsia="en-GB"/>
        </w:rPr>
      </w:pPr>
      <w:r w:rsidRPr="00A817CA">
        <w:rPr>
          <w:noProof/>
        </w:rPr>
        <w:drawing>
          <wp:inline distT="0" distB="0" distL="0" distR="0" wp14:anchorId="3AD0DAA6" wp14:editId="212E2726">
            <wp:extent cx="902460" cy="779721"/>
            <wp:effectExtent l="0" t="0" r="0" b="0"/>
            <wp:docPr id="2" name="Picture 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70" cy="79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CA">
        <w:rPr>
          <w:b/>
          <w:bCs/>
          <w:color w:val="000000"/>
          <w:lang w:eastAsia="en-GB"/>
        </w:rPr>
        <w:t xml:space="preserve"> </w:t>
      </w:r>
    </w:p>
    <w:p w14:paraId="49FA997B" w14:textId="2A414BEE" w:rsidR="00931845" w:rsidRPr="00931845" w:rsidRDefault="00931845" w:rsidP="00597C9F">
      <w:pPr>
        <w:jc w:val="center"/>
      </w:pPr>
      <w:r w:rsidRPr="00931845">
        <w:rPr>
          <w:b/>
          <w:bCs/>
        </w:rPr>
        <w:t>XLMedia PLC</w:t>
      </w:r>
    </w:p>
    <w:p w14:paraId="2DDEE7CA" w14:textId="77777777" w:rsidR="00931845" w:rsidRPr="00931845" w:rsidRDefault="00931845" w:rsidP="00597C9F">
      <w:pPr>
        <w:jc w:val="center"/>
      </w:pPr>
      <w:r w:rsidRPr="00931845">
        <w:t>("XLMedia" or the "Group" or the "Company" or the "Business")</w:t>
      </w:r>
    </w:p>
    <w:p w14:paraId="5B6EFDA2" w14:textId="77777777" w:rsidR="00931845" w:rsidRPr="00931845" w:rsidRDefault="00931845" w:rsidP="00931845">
      <w:r w:rsidRPr="00931845">
        <w:rPr>
          <w:b/>
          <w:bCs/>
        </w:rPr>
        <w:t> </w:t>
      </w:r>
    </w:p>
    <w:p w14:paraId="79E12AFE" w14:textId="2DBB6ED4" w:rsidR="00931845" w:rsidRPr="00931845" w:rsidRDefault="00931845" w:rsidP="00651C63">
      <w:r w:rsidRPr="00931845">
        <w:rPr>
          <w:b/>
          <w:bCs/>
        </w:rPr>
        <w:t xml:space="preserve">Result of General Meeting </w:t>
      </w:r>
      <w:r w:rsidR="004E1DE7">
        <w:rPr>
          <w:b/>
          <w:bCs/>
        </w:rPr>
        <w:t>– Tender Offer</w:t>
      </w:r>
      <w:r w:rsidR="006D5264">
        <w:rPr>
          <w:b/>
          <w:bCs/>
        </w:rPr>
        <w:t>.</w:t>
      </w:r>
      <w:r w:rsidRPr="00931845">
        <w:t> </w:t>
      </w:r>
    </w:p>
    <w:p w14:paraId="4E3B54A6" w14:textId="73EED625" w:rsidR="00931845" w:rsidRPr="00931845" w:rsidRDefault="00931845" w:rsidP="00931845">
      <w:r w:rsidRPr="00931845">
        <w:t>XLMedia (AIM: XLM)</w:t>
      </w:r>
      <w:r w:rsidR="00A82D9D">
        <w:t xml:space="preserve"> </w:t>
      </w:r>
      <w:r w:rsidRPr="00931845">
        <w:t xml:space="preserve">is pleased to announce that the </w:t>
      </w:r>
      <w:r w:rsidR="00597C9F">
        <w:t>special</w:t>
      </w:r>
      <w:r w:rsidRPr="00931845">
        <w:t xml:space="preserve"> resolution to approve the proposed </w:t>
      </w:r>
      <w:r w:rsidR="00C4542D">
        <w:t xml:space="preserve">tender offer to shareholders </w:t>
      </w:r>
      <w:r w:rsidRPr="00931845">
        <w:t>(the "</w:t>
      </w:r>
      <w:r w:rsidR="00C4542D">
        <w:rPr>
          <w:b/>
          <w:bCs/>
        </w:rPr>
        <w:t>Tender Offer</w:t>
      </w:r>
      <w:r w:rsidRPr="00931845">
        <w:t>") proposed at the General Meeting of the Company held earlier today was duly passed.</w:t>
      </w:r>
    </w:p>
    <w:p w14:paraId="774C5F7D" w14:textId="0901B060" w:rsidR="00931845" w:rsidRPr="00931845" w:rsidRDefault="00931845" w:rsidP="00361284">
      <w:r w:rsidRPr="00931845">
        <w:t xml:space="preserve">The full text of the resolution can be found in the Notice of General Meeting, which is contained on page </w:t>
      </w:r>
      <w:r w:rsidR="006E42A6">
        <w:t>3</w:t>
      </w:r>
      <w:r w:rsidR="006723CD">
        <w:t>7</w:t>
      </w:r>
      <w:r w:rsidRPr="00931845">
        <w:t xml:space="preserve"> of the circular published and issued to shareholders on </w:t>
      </w:r>
      <w:r w:rsidR="006723CD">
        <w:t>11 April</w:t>
      </w:r>
      <w:r w:rsidRPr="00931845">
        <w:t xml:space="preserve"> 202</w:t>
      </w:r>
      <w:r w:rsidR="006E42A6">
        <w:t>5</w:t>
      </w:r>
      <w:r w:rsidRPr="00931845">
        <w:t xml:space="preserve"> and is available on the Company's website at: </w:t>
      </w:r>
      <w:hyperlink r:id="rId5" w:history="1">
        <w:r w:rsidR="004302F5" w:rsidRPr="00F86101">
          <w:rPr>
            <w:rStyle w:val="Hyperlink"/>
          </w:rPr>
          <w:t>https://www.xlmedia.com/investors/tender-offer/</w:t>
        </w:r>
      </w:hyperlink>
      <w:r w:rsidR="004302F5">
        <w:t xml:space="preserve">. </w:t>
      </w:r>
    </w:p>
    <w:p w14:paraId="196A2014" w14:textId="0F857797" w:rsidR="00931845" w:rsidRPr="00931845" w:rsidRDefault="00E31210" w:rsidP="00931845">
      <w:r>
        <w:t xml:space="preserve">The result of the Tender Offer will be announced on </w:t>
      </w:r>
      <w:r w:rsidR="00BF2B51">
        <w:t>29 April</w:t>
      </w:r>
      <w:r w:rsidR="00931845" w:rsidRPr="00931845">
        <w:t xml:space="preserve"> 202</w:t>
      </w:r>
      <w:r w:rsidR="00027E6B">
        <w:t>5</w:t>
      </w:r>
      <w:r w:rsidR="00931845" w:rsidRPr="00931845">
        <w:t>.</w:t>
      </w:r>
    </w:p>
    <w:p w14:paraId="73A36487" w14:textId="74C013B3" w:rsidR="00931845" w:rsidRPr="00931845" w:rsidRDefault="00931845" w:rsidP="00361284">
      <w:r w:rsidRPr="00931845">
        <w:t xml:space="preserve"> The full proxy results </w:t>
      </w:r>
      <w:r w:rsidR="00A16723">
        <w:t>are shown below</w:t>
      </w:r>
      <w:r w:rsidRPr="00931845">
        <w:t>: </w:t>
      </w:r>
    </w:p>
    <w:tbl>
      <w:tblPr>
        <w:tblStyle w:val="TableGrid"/>
        <w:tblW w:w="9281" w:type="dxa"/>
        <w:tblLook w:val="04A0" w:firstRow="1" w:lastRow="0" w:firstColumn="1" w:lastColumn="0" w:noHBand="0" w:noVBand="1"/>
      </w:tblPr>
      <w:tblGrid>
        <w:gridCol w:w="1398"/>
        <w:gridCol w:w="1462"/>
        <w:gridCol w:w="875"/>
        <w:gridCol w:w="1324"/>
        <w:gridCol w:w="764"/>
        <w:gridCol w:w="934"/>
        <w:gridCol w:w="1200"/>
        <w:gridCol w:w="1324"/>
      </w:tblGrid>
      <w:tr w:rsidR="0027205E" w:rsidRPr="003C0AEE" w14:paraId="7A3CFBEA" w14:textId="77777777" w:rsidTr="00361284">
        <w:tc>
          <w:tcPr>
            <w:tcW w:w="1398" w:type="dxa"/>
            <w:vMerge w:val="restart"/>
            <w:shd w:val="clear" w:color="auto" w:fill="EDEDED" w:themeFill="accent3" w:themeFillTint="33"/>
          </w:tcPr>
          <w:p w14:paraId="5D03FD3A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RESOLUTION</w:t>
            </w:r>
          </w:p>
        </w:tc>
        <w:tc>
          <w:tcPr>
            <w:tcW w:w="1444" w:type="dxa"/>
            <w:vMerge w:val="restart"/>
            <w:shd w:val="clear" w:color="auto" w:fill="EDEDED" w:themeFill="accent3" w:themeFillTint="33"/>
          </w:tcPr>
          <w:p w14:paraId="7D168F08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DESCRIPTION</w:t>
            </w:r>
          </w:p>
        </w:tc>
        <w:tc>
          <w:tcPr>
            <w:tcW w:w="2205" w:type="dxa"/>
            <w:gridSpan w:val="2"/>
            <w:shd w:val="clear" w:color="auto" w:fill="EDEDED" w:themeFill="accent3" w:themeFillTint="33"/>
          </w:tcPr>
          <w:p w14:paraId="657A1480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FOR</w:t>
            </w:r>
          </w:p>
        </w:tc>
        <w:tc>
          <w:tcPr>
            <w:tcW w:w="1704" w:type="dxa"/>
            <w:gridSpan w:val="2"/>
            <w:shd w:val="clear" w:color="auto" w:fill="EDEDED" w:themeFill="accent3" w:themeFillTint="33"/>
          </w:tcPr>
          <w:p w14:paraId="1771503D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AGAINST</w:t>
            </w:r>
          </w:p>
        </w:tc>
        <w:tc>
          <w:tcPr>
            <w:tcW w:w="1200" w:type="dxa"/>
            <w:shd w:val="clear" w:color="auto" w:fill="EDEDED" w:themeFill="accent3" w:themeFillTint="33"/>
          </w:tcPr>
          <w:p w14:paraId="711FF08D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WITHHELD</w:t>
            </w:r>
          </w:p>
        </w:tc>
        <w:tc>
          <w:tcPr>
            <w:tcW w:w="1330" w:type="dxa"/>
            <w:shd w:val="clear" w:color="auto" w:fill="EDEDED" w:themeFill="accent3" w:themeFillTint="33"/>
          </w:tcPr>
          <w:p w14:paraId="715C3A7F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7205E" w:rsidRPr="003C0AEE" w14:paraId="5ADC15E6" w14:textId="77777777" w:rsidTr="00361284">
        <w:tc>
          <w:tcPr>
            <w:tcW w:w="1398" w:type="dxa"/>
            <w:vMerge/>
            <w:shd w:val="clear" w:color="auto" w:fill="EDEDED" w:themeFill="accent3" w:themeFillTint="33"/>
          </w:tcPr>
          <w:p w14:paraId="109941DD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44" w:type="dxa"/>
            <w:vMerge/>
            <w:shd w:val="clear" w:color="auto" w:fill="EDEDED" w:themeFill="accent3" w:themeFillTint="33"/>
          </w:tcPr>
          <w:p w14:paraId="62806684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72E9CEBC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% Votes</w:t>
            </w:r>
          </w:p>
          <w:p w14:paraId="0EACFB02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Cast</w:t>
            </w:r>
          </w:p>
        </w:tc>
        <w:tc>
          <w:tcPr>
            <w:tcW w:w="1330" w:type="dxa"/>
            <w:shd w:val="clear" w:color="auto" w:fill="EDEDED" w:themeFill="accent3" w:themeFillTint="33"/>
          </w:tcPr>
          <w:p w14:paraId="1D26472F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Votes</w:t>
            </w:r>
          </w:p>
        </w:tc>
        <w:tc>
          <w:tcPr>
            <w:tcW w:w="764" w:type="dxa"/>
            <w:shd w:val="clear" w:color="auto" w:fill="EDEDED" w:themeFill="accent3" w:themeFillTint="33"/>
          </w:tcPr>
          <w:p w14:paraId="6085862D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% Votes</w:t>
            </w:r>
          </w:p>
          <w:p w14:paraId="7D795DB6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Cast</w:t>
            </w:r>
          </w:p>
        </w:tc>
        <w:tc>
          <w:tcPr>
            <w:tcW w:w="940" w:type="dxa"/>
            <w:shd w:val="clear" w:color="auto" w:fill="EDEDED" w:themeFill="accent3" w:themeFillTint="33"/>
          </w:tcPr>
          <w:p w14:paraId="340D0881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Votes</w:t>
            </w:r>
          </w:p>
        </w:tc>
        <w:tc>
          <w:tcPr>
            <w:tcW w:w="1200" w:type="dxa"/>
            <w:shd w:val="clear" w:color="auto" w:fill="EDEDED" w:themeFill="accent3" w:themeFillTint="33"/>
          </w:tcPr>
          <w:p w14:paraId="730BFA3A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Votes</w:t>
            </w:r>
          </w:p>
        </w:tc>
        <w:tc>
          <w:tcPr>
            <w:tcW w:w="1330" w:type="dxa"/>
            <w:shd w:val="clear" w:color="auto" w:fill="EDEDED" w:themeFill="accent3" w:themeFillTint="33"/>
          </w:tcPr>
          <w:p w14:paraId="2D8B7A35" w14:textId="77777777" w:rsidR="003C0AEE" w:rsidRPr="003C0AEE" w:rsidRDefault="003C0AEE" w:rsidP="003C0AEE">
            <w:pPr>
              <w:spacing w:after="160" w:line="259" w:lineRule="auto"/>
              <w:rPr>
                <w:b/>
                <w:bCs/>
              </w:rPr>
            </w:pPr>
            <w:r w:rsidRPr="003C0AEE">
              <w:rPr>
                <w:b/>
                <w:bCs/>
              </w:rPr>
              <w:t>Votes Cast (Excl. Votes Withheld</w:t>
            </w:r>
          </w:p>
        </w:tc>
      </w:tr>
      <w:tr w:rsidR="0027205E" w:rsidRPr="003C0AEE" w14:paraId="36187982" w14:textId="77777777" w:rsidTr="00361284">
        <w:tc>
          <w:tcPr>
            <w:tcW w:w="1398" w:type="dxa"/>
          </w:tcPr>
          <w:p w14:paraId="4840FFCE" w14:textId="77777777" w:rsidR="003C0AEE" w:rsidRPr="003C0AEE" w:rsidRDefault="003C0AEE" w:rsidP="003C0AEE">
            <w:pPr>
              <w:spacing w:after="160" w:line="259" w:lineRule="auto"/>
            </w:pPr>
          </w:p>
          <w:p w14:paraId="00A26738" w14:textId="77777777" w:rsidR="003C0AEE" w:rsidRPr="003C0AEE" w:rsidRDefault="003C0AEE" w:rsidP="003C0AEE">
            <w:pPr>
              <w:spacing w:after="160" w:line="259" w:lineRule="auto"/>
            </w:pPr>
            <w:r w:rsidRPr="003C0AEE">
              <w:t>1.</w:t>
            </w:r>
          </w:p>
        </w:tc>
        <w:tc>
          <w:tcPr>
            <w:tcW w:w="1444" w:type="dxa"/>
          </w:tcPr>
          <w:p w14:paraId="715E799A" w14:textId="50B4A76A" w:rsidR="003C0AEE" w:rsidRPr="003C0AEE" w:rsidRDefault="003C0AEE" w:rsidP="003C0AEE">
            <w:pPr>
              <w:spacing w:after="160" w:line="259" w:lineRule="auto"/>
            </w:pPr>
            <w:r w:rsidRPr="003C0AEE">
              <w:t>To Authorise the Market Purchase of Ordinary Shares</w:t>
            </w:r>
            <w:r w:rsidR="00BF2B51">
              <w:t xml:space="preserve"> of US$0.000001</w:t>
            </w:r>
            <w:r w:rsidRPr="003C0AEE">
              <w:t>.</w:t>
            </w:r>
          </w:p>
        </w:tc>
        <w:tc>
          <w:tcPr>
            <w:tcW w:w="875" w:type="dxa"/>
          </w:tcPr>
          <w:p w14:paraId="506BF3DE" w14:textId="007E12F0" w:rsidR="003C0AEE" w:rsidRPr="003C0AEE" w:rsidRDefault="002A4586" w:rsidP="003C0AEE">
            <w:pPr>
              <w:spacing w:after="160" w:line="259" w:lineRule="auto"/>
            </w:pPr>
            <w:r>
              <w:t>99.8</w:t>
            </w:r>
            <w:r w:rsidR="00CF37E6">
              <w:t>7%</w:t>
            </w:r>
          </w:p>
        </w:tc>
        <w:tc>
          <w:tcPr>
            <w:tcW w:w="1330" w:type="dxa"/>
          </w:tcPr>
          <w:p w14:paraId="7A62DCB6" w14:textId="7229551B" w:rsidR="003C0AEE" w:rsidRPr="003C0AEE" w:rsidRDefault="00CF37E6" w:rsidP="003C0AEE">
            <w:pPr>
              <w:spacing w:after="160" w:line="259" w:lineRule="auto"/>
            </w:pPr>
            <w:r>
              <w:t>63,698,797</w:t>
            </w:r>
          </w:p>
        </w:tc>
        <w:tc>
          <w:tcPr>
            <w:tcW w:w="764" w:type="dxa"/>
          </w:tcPr>
          <w:p w14:paraId="3DBA3CCF" w14:textId="20AD05D5" w:rsidR="003C0AEE" w:rsidRPr="003C0AEE" w:rsidRDefault="00CF37E6" w:rsidP="003C0AEE">
            <w:pPr>
              <w:spacing w:after="160" w:line="259" w:lineRule="auto"/>
            </w:pPr>
            <w:r>
              <w:t>0.13%</w:t>
            </w:r>
          </w:p>
        </w:tc>
        <w:tc>
          <w:tcPr>
            <w:tcW w:w="940" w:type="dxa"/>
          </w:tcPr>
          <w:p w14:paraId="2CBBB36F" w14:textId="62C6D648" w:rsidR="003C0AEE" w:rsidRPr="003C0AEE" w:rsidRDefault="009E2043" w:rsidP="003C0AEE">
            <w:pPr>
              <w:spacing w:after="160" w:line="259" w:lineRule="auto"/>
            </w:pPr>
            <w:r>
              <w:t>83,348</w:t>
            </w:r>
          </w:p>
        </w:tc>
        <w:tc>
          <w:tcPr>
            <w:tcW w:w="1200" w:type="dxa"/>
          </w:tcPr>
          <w:p w14:paraId="37DF61D2" w14:textId="01176AC4" w:rsidR="003C0AEE" w:rsidRPr="003C0AEE" w:rsidRDefault="009E2043" w:rsidP="003C0AEE">
            <w:pPr>
              <w:spacing w:after="160" w:line="259" w:lineRule="auto"/>
            </w:pPr>
            <w:r>
              <w:t>0</w:t>
            </w:r>
          </w:p>
        </w:tc>
        <w:tc>
          <w:tcPr>
            <w:tcW w:w="1330" w:type="dxa"/>
          </w:tcPr>
          <w:p w14:paraId="0FB88D7C" w14:textId="2C98A07A" w:rsidR="003C0AEE" w:rsidRPr="003C0AEE" w:rsidRDefault="00755365" w:rsidP="003C0AEE">
            <w:pPr>
              <w:spacing w:after="160" w:line="259" w:lineRule="auto"/>
            </w:pPr>
            <w:r>
              <w:t>63,782,145</w:t>
            </w:r>
          </w:p>
        </w:tc>
      </w:tr>
    </w:tbl>
    <w:p w14:paraId="6A8172CE" w14:textId="412FC252" w:rsidR="00931845" w:rsidRPr="003C0AEE" w:rsidRDefault="00931845" w:rsidP="00931845"/>
    <w:tbl>
      <w:tblPr>
        <w:tblW w:w="9045" w:type="dxa"/>
        <w:tblInd w:w="-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2626"/>
      </w:tblGrid>
      <w:tr w:rsidR="00931845" w:rsidRPr="00931845" w14:paraId="6A0600FF" w14:textId="77777777" w:rsidTr="00361284">
        <w:trPr>
          <w:trHeight w:val="1400"/>
        </w:trPr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F084" w14:textId="26669C0F" w:rsidR="00931845" w:rsidRPr="00931845" w:rsidRDefault="00931845" w:rsidP="00931845">
            <w:r w:rsidRPr="00931845">
              <w:rPr>
                <w:i/>
                <w:iCs/>
              </w:rPr>
              <w:t> </w:t>
            </w:r>
            <w:r w:rsidRPr="00931845">
              <w:rPr>
                <w:b/>
                <w:bCs/>
              </w:rPr>
              <w:t>For further information, please contact: </w:t>
            </w:r>
          </w:p>
          <w:p w14:paraId="1209CE20" w14:textId="77777777" w:rsidR="00931845" w:rsidRPr="00931845" w:rsidRDefault="00931845" w:rsidP="00931845">
            <w:r w:rsidRPr="00931845">
              <w:rPr>
                <w:b/>
                <w:bCs/>
              </w:rPr>
              <w:t>XLMedia plc</w:t>
            </w:r>
          </w:p>
          <w:p w14:paraId="1D3550C2" w14:textId="77777777" w:rsidR="00931845" w:rsidRPr="00931845" w:rsidRDefault="00931845" w:rsidP="00931845">
            <w:r w:rsidRPr="00931845">
              <w:t>David King, Chief Executive Officer</w:t>
            </w:r>
          </w:p>
          <w:p w14:paraId="2167DF9F" w14:textId="6DB0028A" w:rsidR="00931845" w:rsidRPr="00931845" w:rsidRDefault="00931845" w:rsidP="00931845">
            <w:r w:rsidRPr="00931845">
              <w:t xml:space="preserve">Peter McCall, </w:t>
            </w:r>
            <w:r w:rsidR="00027E6B">
              <w:t xml:space="preserve">Director and </w:t>
            </w:r>
            <w:r w:rsidRPr="00931845">
              <w:t>Company Secretary</w:t>
            </w:r>
          </w:p>
          <w:p w14:paraId="28FA92A2" w14:textId="77777777" w:rsidR="00931845" w:rsidRPr="00931845" w:rsidRDefault="00931845" w:rsidP="00931845">
            <w:hyperlink r:id="rId6" w:history="1">
              <w:r w:rsidRPr="00931845">
                <w:rPr>
                  <w:rStyle w:val="Hyperlink"/>
                </w:rPr>
                <w:t>www.xlmedia.com</w:t>
              </w:r>
            </w:hyperlink>
          </w:p>
          <w:p w14:paraId="2FD80959" w14:textId="77777777" w:rsidR="00931845" w:rsidRPr="00931845" w:rsidRDefault="00931845" w:rsidP="00931845">
            <w:r w:rsidRPr="00931845">
              <w:t> 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7387" w14:textId="77777777" w:rsidR="00931845" w:rsidRPr="00931845" w:rsidRDefault="00931845" w:rsidP="00931845">
            <w:r w:rsidRPr="00931845">
              <w:t> </w:t>
            </w:r>
          </w:p>
          <w:p w14:paraId="1CBBAD81" w14:textId="77777777" w:rsidR="00931845" w:rsidRPr="00931845" w:rsidRDefault="00931845" w:rsidP="00931845">
            <w:r w:rsidRPr="00931845">
              <w:rPr>
                <w:u w:val="single"/>
              </w:rPr>
              <w:t>ir@xlmedia.com</w:t>
            </w:r>
          </w:p>
          <w:p w14:paraId="66FBEED3" w14:textId="77777777" w:rsidR="00931845" w:rsidRPr="00931845" w:rsidRDefault="00931845" w:rsidP="00931845">
            <w:r w:rsidRPr="00931845">
              <w:t> </w:t>
            </w:r>
          </w:p>
        </w:tc>
      </w:tr>
      <w:tr w:rsidR="00931845" w:rsidRPr="00931845" w14:paraId="524CD58B" w14:textId="77777777" w:rsidTr="00361284">
        <w:trPr>
          <w:trHeight w:val="934"/>
        </w:trPr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2981" w14:textId="77777777" w:rsidR="00931845" w:rsidRPr="00931845" w:rsidRDefault="00931845" w:rsidP="00931845">
            <w:r w:rsidRPr="00931845">
              <w:rPr>
                <w:b/>
                <w:bCs/>
              </w:rPr>
              <w:lastRenderedPageBreak/>
              <w:t>Cavendish Capital Markets Limited (Nomad and Broker)</w:t>
            </w:r>
          </w:p>
          <w:p w14:paraId="4181FECC" w14:textId="77777777" w:rsidR="00931845" w:rsidRPr="00931845" w:rsidRDefault="00931845" w:rsidP="00931845">
            <w:r w:rsidRPr="00931845">
              <w:t>Giles Balleny / Callum Davidson (Corporate Finance)</w:t>
            </w:r>
          </w:p>
          <w:p w14:paraId="08266A8F" w14:textId="77777777" w:rsidR="00931845" w:rsidRDefault="00931845" w:rsidP="00931845">
            <w:pPr>
              <w:rPr>
                <w:rStyle w:val="Hyperlink"/>
              </w:rPr>
            </w:pPr>
            <w:hyperlink r:id="rId7" w:history="1">
              <w:r w:rsidRPr="00931845">
                <w:rPr>
                  <w:rStyle w:val="Hyperlink"/>
                </w:rPr>
                <w:t>www.cavendish.com</w:t>
              </w:r>
            </w:hyperlink>
          </w:p>
          <w:p w14:paraId="3318B625" w14:textId="77777777" w:rsidR="00651C63" w:rsidRPr="00931845" w:rsidRDefault="00651C63" w:rsidP="00931845"/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81B5" w14:textId="77777777" w:rsidR="00931845" w:rsidRPr="00931845" w:rsidRDefault="00931845" w:rsidP="00931845">
            <w:r w:rsidRPr="00931845">
              <w:t>Tel: 020 7220 0500</w:t>
            </w:r>
          </w:p>
        </w:tc>
      </w:tr>
    </w:tbl>
    <w:p w14:paraId="3A2577C0" w14:textId="65C3A296" w:rsidR="00931845" w:rsidRPr="00931845" w:rsidRDefault="00931845" w:rsidP="00361284">
      <w:pPr>
        <w:ind w:left="-142"/>
      </w:pPr>
      <w:r w:rsidRPr="00931845">
        <w:rPr>
          <w:b/>
          <w:bCs/>
        </w:rPr>
        <w:t>About XLMedia</w:t>
      </w:r>
    </w:p>
    <w:p w14:paraId="3DCD8736" w14:textId="394F92B9" w:rsidR="004B5124" w:rsidRDefault="00931845" w:rsidP="00361284">
      <w:pPr>
        <w:ind w:left="-142"/>
      </w:pPr>
      <w:r w:rsidRPr="00931845">
        <w:t>XLMedia (AIM: XLM) has recently disposed of its sports and gaming digital media operations.</w:t>
      </w:r>
    </w:p>
    <w:sectPr w:rsidR="004B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45"/>
    <w:rsid w:val="00027E6B"/>
    <w:rsid w:val="002305B6"/>
    <w:rsid w:val="00261FEF"/>
    <w:rsid w:val="0027205E"/>
    <w:rsid w:val="002A4586"/>
    <w:rsid w:val="00361284"/>
    <w:rsid w:val="00373587"/>
    <w:rsid w:val="003C0AEE"/>
    <w:rsid w:val="004302F5"/>
    <w:rsid w:val="00445E9D"/>
    <w:rsid w:val="00452201"/>
    <w:rsid w:val="004B5124"/>
    <w:rsid w:val="004B7454"/>
    <w:rsid w:val="004C7B1A"/>
    <w:rsid w:val="004E1DE7"/>
    <w:rsid w:val="00597C9F"/>
    <w:rsid w:val="00651C63"/>
    <w:rsid w:val="006723CD"/>
    <w:rsid w:val="006A777E"/>
    <w:rsid w:val="006D5264"/>
    <w:rsid w:val="006E42A6"/>
    <w:rsid w:val="006F42EB"/>
    <w:rsid w:val="0072748E"/>
    <w:rsid w:val="00755365"/>
    <w:rsid w:val="00831ECB"/>
    <w:rsid w:val="008B4324"/>
    <w:rsid w:val="00931845"/>
    <w:rsid w:val="00975CB8"/>
    <w:rsid w:val="009E2043"/>
    <w:rsid w:val="00A16723"/>
    <w:rsid w:val="00A8014D"/>
    <w:rsid w:val="00A82D9D"/>
    <w:rsid w:val="00B558D8"/>
    <w:rsid w:val="00BF2B51"/>
    <w:rsid w:val="00C1126A"/>
    <w:rsid w:val="00C4542D"/>
    <w:rsid w:val="00CE1190"/>
    <w:rsid w:val="00CF37E6"/>
    <w:rsid w:val="00DA49BA"/>
    <w:rsid w:val="00E31210"/>
    <w:rsid w:val="00EA7A9A"/>
    <w:rsid w:val="00EC2065"/>
    <w:rsid w:val="00E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7726"/>
  <w15:chartTrackingRefBased/>
  <w15:docId w15:val="{CFB786CE-34DC-4534-98BA-ED6FCD3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8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1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8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vendis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lmedia.com/" TargetMode="External"/><Relationship Id="rId5" Type="http://schemas.openxmlformats.org/officeDocument/2006/relationships/hyperlink" Target="https://www.xlmedia.com/investors/tender-offe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McCall</dc:creator>
  <cp:keywords/>
  <dc:description/>
  <cp:lastModifiedBy>Peter McCall</cp:lastModifiedBy>
  <cp:revision>2</cp:revision>
  <dcterms:created xsi:type="dcterms:W3CDTF">2025-04-28T10:33:00Z</dcterms:created>
  <dcterms:modified xsi:type="dcterms:W3CDTF">2025-04-28T10:33:00Z</dcterms:modified>
</cp:coreProperties>
</file>